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keepNext w:val="false"/>
        <w:keepLines w:val="false"/>
        <w:widowControl/>
        <w:shd w:val="clear" w:fill="auto"/>
        <w:spacing w:lineRule="auto" w:line="360" w:before="0" w:after="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CURRICOLO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EDUCAZIONE CIVICA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200"/>
        <w:ind w:left="0" w:right="0" w:hanging="0"/>
        <w:jc w:val="center"/>
        <w:rPr>
          <w:color w:val="00000A"/>
          <w:sz w:val="22"/>
          <w:szCs w:val="22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BIENNIO  – </w:t>
      </w:r>
      <w:r>
        <w:rPr>
          <w:rFonts w:eastAsia="Arial" w:cs="Arial" w:ascii="Arial" w:hAnsi="Arial"/>
          <w:b/>
          <w:color w:val="00000A"/>
        </w:rPr>
        <w:t>SEZIONE CARCERARIA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L’insegnamento di Educazione </w:t>
      </w:r>
      <w:r>
        <w:rPr>
          <w:rFonts w:eastAsia="Arial" w:cs="Arial" w:ascii="Arial" w:hAnsi="Arial"/>
        </w:rPr>
        <w:t>C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ivica è caratterizzato dalla trasversalità: ogni disciplina è, di per sé, parte integrante della formazione civica e sociale di ciascun alunno.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L’insegnamento si sviluppa intorno a tre nuclei tematici: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1. Costituzione, diritto, legalità e solidarietà;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2. Sviluppo sostenibile, educazione ambientale, conoscenza e tutela del patrimonio e del territorio;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3. Cittadinanza digitale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Obiettivi disciplinari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1. Conoscere l’organizzazione costituzionale ed amministrativa del nostro Paese per rispondere ai propri doveri di cittadino ed esercitare con consapevolezza i propri diritti politici a livello territoriale e nazionale.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2. Conoscere i valori che ispirano gli ordinamenti comunitari e internazionali, nonché i loro compiti e funzioni essenziali.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3. Essere consapevoli del valore e delle regole della vita democratica anche attraverso l’approfondimento degli elementi fondamentali del diritto che la regolano.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4. Esercitare correttamente le modalità di rappresentanza, di delega, di rispetto degli impegni assunti e fatti propri all’interno di diversi ambiti istituzionali e sociali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5. Partecipare al dibattito culturale.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6. Cogliere la complessità dei problemi esistenziali, morali, politici, sociali, economici e scientifici e formulare risposte personali argomentate.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7. Prendere coscienza delle situazioni e delle forme del disagio giovanile ed adulto nella società contemporanea e comportarsi in modo da promuovere il benessere fisico, psicologico, morale e sociale.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8. Rispettare l’ambiente, curarlo, conservarlo, migliorarlo, assumendo il principio di responsabilità.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9. Adottare i comportamenti più adeguati per la tutela della sicurezza propria, degli altri e dell’ambiente in cui si vive, in condizioni ordinarie o straordinarie di pericolo.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10. Perseguire con ogni mezzo e in ogni contesto il principio di legalità e di solidarietà dell’azione individuale e sociale, promuovendo principi, valori e abiti di contrasto alla criminalità organizzata e alle mafie.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11. Esercitare i principi della cittadinanza digitale, con competenza e coerenza rispetto al sistema integrato di valori che regolano la vita democratica.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12. Compiere le scelte di partecipazione alla vita pubblica e di cittadinanza coerentemente agli obiettivi di sostenibilità sanciti a livello comunitario attraverso l’Agenda 2030 per lo sviluppo sostenibile.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13. Operare a favore dello sviluppo eco-sostenibile e della tutela delle identità e delle eccellenze produttive del Paese. 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14. Rispettare e valorizzare il patrimonio culturale e dei beni pubblici comuni.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76" w:before="0" w:after="200"/>
        <w:jc w:val="both"/>
        <w:rPr>
          <w:rFonts w:ascii="Arial" w:hAnsi="Arial" w:eastAsia="Arial" w:cs="Arial"/>
          <w:b/>
          <w:b/>
          <w:color w:val="00000A"/>
        </w:rPr>
      </w:pPr>
      <w:r>
        <w:rPr>
          <w:rFonts w:eastAsia="Arial" w:cs="Arial" w:ascii="Arial" w:hAnsi="Arial"/>
          <w:b/>
          <w:color w:val="00000A"/>
        </w:rPr>
        <w:t>Obiettivi minimi</w:t>
      </w:r>
    </w:p>
    <w:p>
      <w:pPr>
        <w:pStyle w:val="Normal1"/>
        <w:numPr>
          <w:ilvl w:val="0"/>
          <w:numId w:val="4"/>
        </w:numPr>
        <w:spacing w:lineRule="auto" w:line="360" w:before="24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Sviluppare l'attitudine alla riflessione sull'uomo e sulla società, riconoscendo elementi di continuità col passato negli argomenti studiati</w:t>
      </w:r>
    </w:p>
    <w:p>
      <w:pPr>
        <w:pStyle w:val="Normal1"/>
        <w:numPr>
          <w:ilvl w:val="0"/>
          <w:numId w:val="4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Approfondire alcune tematiche e problemi di attualità (Geografia, Cittadinanza e Costituzione)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Sapere cosa si intende per inquinamento e conoscere gli impatti che provoca sul pianeta Terra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Essere consapevoli dell’importanza della biodiversità</w:t>
      </w:r>
    </w:p>
    <w:p>
      <w:pPr>
        <w:pStyle w:val="Normal1"/>
        <w:numPr>
          <w:ilvl w:val="0"/>
          <w:numId w:val="4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  <w:color w:val="222222"/>
        </w:rPr>
        <w:t xml:space="preserve">Riconoscere i pericoli della rete </w:t>
      </w:r>
      <w:r>
        <w:rPr>
          <w:rFonts w:eastAsia="Arial" w:cs="Arial" w:ascii="Arial" w:hAnsi="Arial"/>
        </w:rPr>
        <w:t xml:space="preserve"> i principali problemi che possono sorgere e come evitarli</w:t>
      </w:r>
    </w:p>
    <w:p>
      <w:pPr>
        <w:pStyle w:val="Normal1"/>
        <w:widowControl w:val="false"/>
        <w:numPr>
          <w:ilvl w:val="0"/>
          <w:numId w:val="4"/>
        </w:numPr>
        <w:spacing w:lineRule="auto" w:line="240" w:before="0" w:after="120"/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Conoscere gli elementi di base delle reti e i relativi principi della sicurezza informatica</w:t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0"/>
        <w:jc w:val="both"/>
        <w:rPr>
          <w:rFonts w:ascii="Arial" w:hAnsi="Arial" w:eastAsia="Arial" w:cs="Arial"/>
          <w:color w:val="222222"/>
        </w:rPr>
      </w:pPr>
      <w:r>
        <w:rPr>
          <w:rFonts w:eastAsia="Arial" w:cs="Arial" w:ascii="Arial" w:hAnsi="Arial"/>
          <w:color w:val="222222"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40" w:before="0" w:after="200"/>
        <w:jc w:val="both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b/>
          <w:color w:val="00000A"/>
        </w:rPr>
        <w:t xml:space="preserve">Obiettivi specifici disciplinari  </w:t>
      </w:r>
    </w:p>
    <w:p>
      <w:pPr>
        <w:pStyle w:val="Normal1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jc w:val="both"/>
        <w:rPr>
          <w:rFonts w:ascii="Arial" w:hAnsi="Arial" w:eastAsia="Arial" w:cs="Arial"/>
          <w:color w:val="FF0000"/>
        </w:rPr>
      </w:pPr>
      <w:r>
        <w:rPr>
          <w:rFonts w:eastAsia="Arial" w:cs="Arial" w:ascii="Arial" w:hAnsi="Arial"/>
          <w:color w:val="FF0000"/>
        </w:rPr>
      </w:r>
    </w:p>
    <w:p>
      <w:pPr>
        <w:pStyle w:val="Normal1"/>
        <w:widowControl w:val="false"/>
        <w:numPr>
          <w:ilvl w:val="0"/>
          <w:numId w:val="3"/>
        </w:numPr>
        <w:spacing w:before="0" w:afterAutospacing="0" w:after="0"/>
        <w:ind w:left="720" w:hanging="360"/>
        <w:rPr/>
      </w:pPr>
      <w:r>
        <w:rPr>
          <w:rFonts w:eastAsia="Arial" w:cs="Arial" w:ascii="Arial" w:hAnsi="Arial"/>
        </w:rPr>
        <w:t>Discutere e confrontare diverse interpretazioni di fatti o fenomeni storici, sociali ed economici anche in riferimento alla realtà contemporanea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Sviluppare lo spirito di osservazione, la capacità di analisi, di sintesi e di collegamento</w:t>
      </w:r>
    </w:p>
    <w:p>
      <w:pPr>
        <w:pStyle w:val="Normal1"/>
        <w:widowControl w:val="false"/>
        <w:numPr>
          <w:ilvl w:val="0"/>
          <w:numId w:val="3"/>
        </w:numPr>
        <w:spacing w:lineRule="auto" w:line="240" w:beforeAutospacing="0" w:before="0" w:afterAutospacing="0" w:after="0"/>
        <w:ind w:left="720" w:hanging="360"/>
        <w:rPr>
          <w:sz w:val="22"/>
          <w:szCs w:val="22"/>
        </w:rPr>
      </w:pPr>
      <w:r>
        <w:rPr>
          <w:rFonts w:eastAsia="Arial" w:cs="Arial" w:ascii="Arial" w:hAnsi="Arial"/>
        </w:rPr>
        <w:t>Riconoscere le origini storiche delle principali istituzioni politiche, economiche e religiose nel mondo attuale e le loro interconnessioni, anche alla luce della Costituzione italiana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0"/>
        <w:ind w:left="720" w:hanging="360"/>
        <w:jc w:val="both"/>
        <w:rPr/>
      </w:pPr>
      <w:r>
        <w:rPr>
          <w:rFonts w:eastAsia="Arial" w:cs="Arial" w:ascii="Arial" w:hAnsi="Arial"/>
          <w:color w:val="222222"/>
        </w:rPr>
        <w:t>Conoscere la situazione dell’inquinamento ambientale oggi (situazione delle acque, dell’atmosfera e del suolo)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  <w:color w:val="222222"/>
        </w:rPr>
        <w:t>Conoscere la disponibilità delle risorse ambientali</w:t>
      </w:r>
    </w:p>
    <w:p>
      <w:pPr>
        <w:pStyle w:val="Normal1"/>
        <w:numPr>
          <w:ilvl w:val="0"/>
          <w:numId w:val="3"/>
        </w:numPr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/>
        <w:ind w:left="720" w:hanging="360"/>
        <w:jc w:val="both"/>
        <w:rPr>
          <w:color w:val="222222"/>
        </w:rPr>
      </w:pPr>
      <w:r>
        <w:rPr>
          <w:rFonts w:eastAsia="Arial" w:cs="Arial" w:ascii="Arial" w:hAnsi="Arial"/>
        </w:rPr>
        <w:t xml:space="preserve"> </w:t>
      </w:r>
      <w:r>
        <w:rPr>
          <w:rFonts w:eastAsia="Arial" w:cs="Arial" w:ascii="Arial" w:hAnsi="Arial"/>
        </w:rPr>
        <w:t>Conoscere la biodiversità come patrimonio da tutelare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Uso consapevole dei siti web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 pericoli sulla rete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Sicurezza informatica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Sicurezza e protezione dei dati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Crittografia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Privacy e dati sensibili</w:t>
      </w:r>
    </w:p>
    <w:p>
      <w:pPr>
        <w:pStyle w:val="Normal1"/>
        <w:widowControl w:val="false"/>
        <w:numPr>
          <w:ilvl w:val="0"/>
          <w:numId w:val="3"/>
        </w:numPr>
        <w:ind w:left="720" w:hanging="360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Ergonomia garantita nel posto di lavoro: il suo ruolo nella postazione PC</w:t>
      </w:r>
    </w:p>
    <w:p>
      <w:pPr>
        <w:pStyle w:val="Normal1"/>
        <w:shd w:val="clear" w:fill="FFFFFF"/>
        <w:spacing w:lineRule="auto" w:line="240" w:before="0" w:after="0"/>
        <w:ind w:left="0" w:hanging="0"/>
        <w:jc w:val="both"/>
        <w:rPr>
          <w:rFonts w:ascii="Arial" w:hAnsi="Arial" w:eastAsia="Arial" w:cs="Arial"/>
          <w:b/>
          <w:b/>
          <w:u w:val="single"/>
        </w:rPr>
      </w:pPr>
      <w:r>
        <w:rPr>
          <w:rFonts w:eastAsia="Arial" w:cs="Arial" w:ascii="Arial" w:hAnsi="Arial"/>
          <w:b/>
          <w:u w:val="singl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120"/>
        <w:ind w:left="0" w:right="0" w:hanging="0"/>
        <w:jc w:val="left"/>
        <w:rPr>
          <w:rFonts w:ascii="Arial" w:hAnsi="Arial" w:eastAsia="Arial" w:cs="Arial"/>
          <w:color w:val="00000A"/>
        </w:rPr>
      </w:pPr>
      <w:r>
        <w:rPr>
          <w:rFonts w:eastAsia="Arial" w:cs="Arial" w:ascii="Arial" w:hAnsi="Arial"/>
          <w:color w:val="00000A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Percorsi disciplinari o multidisciplinari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La Costituzione italiana: diritti e doveri </w:t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Il cittadino italiano e le istituzioni: Parlamento, Governo, Presidente della Repubblica, la Magistratura</w:t>
      </w:r>
    </w:p>
    <w:p>
      <w:pPr>
        <w:pStyle w:val="Normal1"/>
        <w:keepNext w:val="false"/>
        <w:keepLines w:val="false"/>
        <w:widowControl/>
        <w:numPr>
          <w:ilvl w:val="0"/>
          <w:numId w:val="2"/>
        </w:numPr>
        <w:shd w:val="clear" w:fill="auto"/>
        <w:tabs>
          <w:tab w:val="clear" w:pos="720"/>
          <w:tab w:val="left" w:pos="-3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Lo Stato italiano e i rapporti internazionali con gli altri Stati e le Organizzazioni internazionali, in particolare ONU e UE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36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Metodologie condivise</w:t>
      </w:r>
    </w:p>
    <w:p>
      <w:pPr>
        <w:pStyle w:val="Normal1"/>
        <w:keepNext w:val="false"/>
        <w:keepLines w:val="false"/>
        <w:widowControl/>
        <w:numPr>
          <w:ilvl w:val="0"/>
          <w:numId w:val="5"/>
        </w:numPr>
        <w:shd w:val="clear" w:fill="auto"/>
        <w:tabs>
          <w:tab w:val="clear" w:pos="720"/>
          <w:tab w:val="left" w:pos="-2172" w:leader="none"/>
        </w:tabs>
        <w:spacing w:lineRule="auto" w:line="240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lezione frontale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lezione interattiva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lavori di gruppo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utilizzo di materiale multimediale, mappe concettuali e schede riassuntive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utilizzo dei libri di testo, come strumento privilegiato di studio, e di materiale integrativo fornito dall’insegnante a seconda delle specifiche esigenze di approfondimento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uso di atlanti geostorici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lettura dei giornali</w:t>
      </w:r>
    </w:p>
    <w:p>
      <w:pPr>
        <w:pStyle w:val="Normal1"/>
        <w:keepNext w:val="false"/>
        <w:keepLines w:val="false"/>
        <w:widowControl/>
        <w:numPr>
          <w:ilvl w:val="0"/>
          <w:numId w:val="1"/>
        </w:numPr>
        <w:shd w:val="clear" w:fill="auto"/>
        <w:spacing w:lineRule="auto" w:line="276" w:before="0" w:after="0"/>
        <w:ind w:left="720" w:right="0" w:hanging="36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2"/>
          <w:szCs w:val="22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progetti con esperti esterni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0"/>
        <w:ind w:right="0" w:hanging="0"/>
        <w:jc w:val="both"/>
        <w:rPr>
          <w:rFonts w:ascii="Calibri" w:hAnsi="Calibri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pPr>
      <w:r>
        <w:rPr>
          <w:rFonts w:eastAsia="Calibri" w:cs="Calibri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2"/>
          <w:sz w:val="22"/>
          <w:szCs w:val="22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72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highlight w:val="yellow"/>
          <w:u w:val="none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highlight w:val="yellow"/>
          <w:u w:val="none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76" w:before="0" w:after="0"/>
        <w:ind w:left="72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Criteri di valutazione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Il docente di ogni disciplina somministrerà una prova di verifica sulla tematica di Educazione civica trattata nelle proprie ore.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In ogni classe, il docente di Discipline giuridico-economiche assumerà il ruolo di coordinatore per Educazione civica, come previsto anche dalle Linee guida. Egli sarà chiamato a coordinare l’attività di tutti i docenti, a raccogliere le valutazioni di tutti i docenti del Consiglio di Classe e a farne una sintesi in modo da esprimere la valutazione sulla disciplina da riportare in pagella, secondo la seguente griglia:</w:t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</w:rPr>
      </w:r>
    </w:p>
    <w:tbl>
      <w:tblPr>
        <w:tblStyle w:val="Table1"/>
        <w:tblW w:w="96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48"/>
        <w:gridCol w:w="5312"/>
        <w:gridCol w:w="1155"/>
      </w:tblGrid>
      <w:tr>
        <w:trPr/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Indicatori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Descrittori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Punteggio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Acquisizione dei contenuti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ha acquisito i contenuti o li ha acquisiti in modo estremamente frammentario e lacunoso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modo parziale e/o incompleto utilizzandoli in modo non sempre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modo corretto e appropriato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maniera completa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38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Ha acquisito i contenuti in maniera completa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38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utilizzare le conoscenze acquisite e di collegarle tra loro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utilizzare e collegare le conoscenze acquisite o lo fa in modo del tutto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opportunamente 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in maniera articolata le conoscenze acquisite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utilizzare e collegare le conoscenze acquisite in maniera ampia e approfondita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argomentare in maniera critica e personale, rielaborando i contenuti acquisiti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argomentare in maniera critica e personale o argomenta in modo superficiale e disorganico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argomentazioni critiche e personali solo a tratti e solo in relazione a specifici argomenti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semplici argomentazioni critiche e personali con una corretta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articolate argomentazioni critiche e personali rielaborando efficacemente 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formulare ampie e articolate argomentazioni critiche e personali con un’originale riformulazione dei contenuti acquisiti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Ricchezza e padronanza lessicale e semantica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scorretto o stentato utilizzando un lessico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non sempre corretto o stentato utilizzando un lessico parzialmente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corretto utilizzando un lessico 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in modo preciso e accurato utilizzando un lessico vario e articolato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Si esprime con ricchezza e piena padronanza lessicale e semantica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</w:tr>
      <w:tr>
        <w:trPr>
          <w:trHeight w:val="420" w:hRule="atLeast"/>
        </w:trPr>
        <w:tc>
          <w:tcPr>
            <w:tcW w:w="3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Capacità di analisi e comprensione della realtà</w:t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Non è in grado di analizzare e comprendere la realtà o la fa in modo inadeguato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1-3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analizzare e comprendere la realtà con difficoltà o solo se guidato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4-5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adeguata della realtà sulla base di una corretta riflessione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6-7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precisa della realtà sulla base di un’attenta riflessione 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8-9</w:t>
            </w:r>
          </w:p>
        </w:tc>
      </w:tr>
      <w:tr>
        <w:trPr>
          <w:trHeight w:val="420" w:hRule="atLeast"/>
        </w:trPr>
        <w:tc>
          <w:tcPr>
            <w:tcW w:w="3148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Calibri" w:cs="Calibri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0"/>
                <w:sz w:val="20"/>
                <w:szCs w:val="20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È in grado di compiere un’analisi approfondita della realtà sulla base di una riflessione critica e consapevole</w:t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10</w:t>
            </w:r>
          </w:p>
        </w:tc>
      </w:tr>
      <w:tr>
        <w:trPr>
          <w:trHeight w:val="420" w:hRule="atLeast"/>
        </w:trPr>
        <w:tc>
          <w:tcPr>
            <w:tcW w:w="3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5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240"/>
              <w:ind w:left="0" w:right="0" w:hanging="0"/>
              <w:jc w:val="left"/>
              <w:rPr>
                <w:rFonts w:ascii="Times New Roman" w:hAnsi="Times New Roman" w:eastAsia="Times New Roman" w:cs="Times New Roman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rFonts w:eastAsia="Times New Roman"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 w:val="24"/>
                <w:szCs w:val="24"/>
                <w:u w:val="none"/>
                <w:shd w:fill="auto" w:val="clear"/>
                <w:vertAlign w:val="baseline"/>
              </w:rPr>
            </w:r>
          </w:p>
        </w:tc>
        <w:tc>
          <w:tcPr>
            <w:tcW w:w="11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left="0" w:right="0" w:hanging="0"/>
              <w:jc w:val="left"/>
              <w:rPr>
                <w:rFonts w:ascii="Calibri" w:hAnsi="Calibri" w:eastAsia="Calibri" w:cs="Calibri"/>
                <w:b w:val="false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20"/>
                <w:szCs w:val="20"/>
                <w:u w:val="none"/>
                <w:shd w:fill="auto" w:val="clear"/>
                <w:vertAlign w:val="baseline"/>
              </w:rPr>
            </w:pP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18"/>
                <w:sz w:val="18"/>
                <w:szCs w:val="18"/>
                <w:u w:val="none"/>
                <w:shd w:fill="auto" w:val="clear"/>
                <w:vertAlign w:val="baseline"/>
              </w:rPr>
              <w:t>____ / 50</w:t>
            </w:r>
          </w:p>
        </w:tc>
      </w:tr>
    </w:tbl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 w:val="false"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FFFFFF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FFFFFF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  <w:t>Prove di ingresso e prove parallele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Non sono previste prove di ingresso.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I docenti della classe potranno concordare prove comuni.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FF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Strategie per il miglioramento dei livelli di apprendimento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-12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Ogni docente metterà in atto le stesse strategie di recupero previste per la propria disciplina.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singl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>
          <w:rFonts w:eastAsia="Arial" w:cs="Arial" w:ascii="Arial" w:hAnsi="Arial"/>
          <w:b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single"/>
          <w:shd w:fill="auto" w:val="clear"/>
          <w:vertAlign w:val="baseline"/>
        </w:rPr>
        <w:t>Modaltà di comunicazioni trasparenti in merito alla valutazione del percorso scolastico</w:t>
      </w:r>
    </w:p>
    <w:p>
      <w:pPr>
        <w:pStyle w:val="Normal1"/>
        <w:keepNext w:val="false"/>
        <w:keepLines w:val="false"/>
        <w:widowControl/>
        <w:shd w:val="clear" w:fill="auto"/>
        <w:spacing w:lineRule="auto" w:line="240" w:before="0" w:after="0"/>
        <w:ind w:left="0" w:right="0" w:hanging="0"/>
        <w:jc w:val="left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A"/>
          <w:position w:val="0"/>
          <w:sz w:val="20"/>
          <w:sz w:val="20"/>
          <w:szCs w:val="20"/>
          <w:u w:val="none"/>
          <w:shd w:fill="auto" w:val="clear"/>
          <w:vertAlign w:val="baseline"/>
        </w:rPr>
        <w:t>Le valutazioni verranno comunicate tramite Registro Elettronico.</w:t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</w:tabs>
        <w:spacing w:lineRule="auto" w:line="240" w:before="0" w:after="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widowControl/>
        <w:shd w:val="clear" w:fill="auto"/>
        <w:tabs>
          <w:tab w:val="clear" w:pos="720"/>
          <w:tab w:val="left" w:pos="708" w:leader="none"/>
          <w:tab w:val="center" w:pos="4819" w:leader="none"/>
          <w:tab w:val="right" w:pos="9638" w:leader="none"/>
        </w:tabs>
        <w:spacing w:lineRule="auto" w:line="276" w:before="0" w:after="200"/>
        <w:ind w:left="0" w:right="0" w:hanging="0"/>
        <w:jc w:val="both"/>
        <w:rPr>
          <w:rFonts w:ascii="Arial" w:hAnsi="Arial" w:eastAsia="Arial" w:cs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70C0"/>
          <w:position w:val="0"/>
          <w:sz w:val="20"/>
          <w:sz w:val="20"/>
          <w:szCs w:val="20"/>
          <w:u w:val="single"/>
          <w:shd w:fill="auto" w:val="clear"/>
          <w:vertAlign w:val="baseline"/>
        </w:rPr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09" w:top="766" w:footer="426" w:bottom="708" w:gutter="0"/>
      <w:pgNumType w:start="1"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auto"/>
    <w:pitch w:val="default"/>
  </w:font>
  <w:font w:name="Wingdings">
    <w:charset w:val="02"/>
    <w:family w:val="auto"/>
    <w:pitch w:val="default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center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  <w:t xml:space="preserve">di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Arial" w:cs="Arial" w:ascii="Arial" w:hAnsi="Arial"/>
        <w:b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keepNext w:val="false"/>
      <w:keepLines w:val="false"/>
      <w:widowControl/>
      <w:shd w:val="clear" w:fill="auto"/>
      <w:spacing w:lineRule="auto" w:line="240" w:before="0" w:after="0"/>
      <w:ind w:left="0" w:right="0" w:hanging="0"/>
      <w:jc w:val="left"/>
      <w:rPr>
        <w:rFonts w:ascii="Arial" w:hAnsi="Arial" w:eastAsia="Arial" w:cs="Arial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A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inline distT="0" distB="0" distL="0" distR="0">
          <wp:extent cx="6120765" cy="967105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96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0" w:hanging="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hanging="0"/>
      </w:pPr>
      <w:rPr>
        <w:vertAlign w:val="baseline"/>
        <w:position w:val="0"/>
        <w:sz w:val="20"/>
        <w:sz w:val="20"/>
        <w:szCs w:val="20"/>
      </w:rPr>
    </w:lvl>
  </w:abstractNum>
  <w:abstractNum w:abstractNumId="2"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4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5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vertAlign w:val="baseline"/>
        <w:position w:val="0"/>
        <w:sz w:val="2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vertAlign w:val="baseline"/>
        <w:position w:val="0"/>
        <w:sz w:val="2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vertAlign w:val="baseline"/>
        <w:position w:val="0"/>
        <w:sz w:val="2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vertAlign w:val="baseline"/>
        <w:position w:val="0"/>
        <w:sz w:val="2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vertAlign w:val="baseline"/>
        <w:position w:val="0"/>
        <w:sz w:val="2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vertAlign w:val="baseline"/>
        <w:position w:val="0"/>
        <w:sz w:val="2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vertAlign w:val="baseline"/>
        <w:position w:val="0"/>
        <w:sz w:val="2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vertAlign w:val="baseline"/>
        <w:position w:val="0"/>
        <w:sz w:val="20"/>
        <w:sz w:val="20"/>
        <w:szCs w:val="2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 w:val="false"/>
      <w:widowControl/>
      <w:pBdr/>
      <w:shd w:val="clear" w:fill="auto"/>
      <w:spacing w:lineRule="auto" w:line="240" w:before="0" w:after="0"/>
      <w:ind w:left="0" w:right="0" w:hanging="0"/>
      <w:jc w:val="both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A"/>
      <w:position w:val="0"/>
      <w:sz w:val="24"/>
      <w:sz w:val="24"/>
      <w:szCs w:val="24"/>
      <w:u w:val="single"/>
      <w:shd w:fill="auto" w:val="clear"/>
      <w:vertAlign w:val="baseline"/>
    </w:rPr>
  </w:style>
  <w:style w:type="paragraph" w:styleId="Titolo3">
    <w:name w:val="Heading 3"/>
    <w:basedOn w:val="Normal1"/>
    <w:next w:val="Normal1"/>
    <w:qFormat/>
    <w:pPr>
      <w:keepNext w:val="true"/>
      <w:keepLines w:val="false"/>
      <w:widowControl/>
      <w:pBdr/>
      <w:shd w:val="clear" w:fill="auto"/>
      <w:spacing w:lineRule="auto" w:line="276" w:before="240" w:after="120"/>
      <w:ind w:left="0" w:right="0" w:hanging="0"/>
      <w:jc w:val="left"/>
    </w:pPr>
    <w:rPr>
      <w:rFonts w:ascii="Times New Roman" w:hAnsi="Times New Roman" w:eastAsia="Times New Roman" w:cs="Times New Roman"/>
      <w:b/>
      <w:i w:val="false"/>
      <w:caps w:val="false"/>
      <w:smallCaps w:val="false"/>
      <w:strike w:val="false"/>
      <w:dstrike w:val="false"/>
      <w:color w:val="00000A"/>
      <w:position w:val="0"/>
      <w:sz w:val="28"/>
      <w:sz w:val="28"/>
      <w:szCs w:val="28"/>
      <w:u w:val="none"/>
      <w:shd w:fill="auto" w:val="clear"/>
      <w:vertAlign w:val="baseline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LibreOffice/7.0.1.2$Windows_X86_64 LibreOffice_project/7cbcfc562f6eb6708b5ff7d7397325de9e764452</Application>
  <Pages>10</Pages>
  <Words>1246</Words>
  <Characters>7290</Characters>
  <CharactersWithSpaces>8402</CharactersWithSpaces>
  <Paragraphs>128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revision>0</cp:revision>
  <dc:subject/>
  <dc:title/>
</cp:coreProperties>
</file>