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CURRICOLO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CIVICA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BIENNIO  – INDIRIZZO TECNICO COMMERCIALE E CAT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di Educazione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ivica è caratterizzato dalla trasversalità: ogni disciplina è, di per sé, parte integrante della formazione civica e sociale di ciascun alunno.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si sviluppa intorno a tre nuclei tematici: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Costituzione, diritto, legalità e solidarietà;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Sviluppo sostenibile, educazione ambientale, conoscenza e tutela del patrimonio e del territorio;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3. Cittadinanza digitale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Obiettivi disciplinari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Conoscere l’organizzazione costituzionale ed amministrativa del nostro Paese per rispondere ai propri doveri di cittadino ed esercitare con consapevolezza i propri diritti politici a livello territoriale e nazionale.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Conoscere i valori che ispirano gli ordinamenti comunitari e internazionali, nonché i loro compiti e funzioni essenziali.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3. Essere consapevoli del valore e delle regole della vita democratica anche attraverso l’approfondimento degli elementi fondamentali del diritto che la regolano.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4. Esercitare correttamente le modalità di rappresentanza, di delega, di rispetto degli impegni assunti e fatti propri all’interno di diversi ambiti istituzionali e sociali: in particolare, il Consiglio di Classe, il Comitato studentesco, l’Assemblea di Istituto, il Consiglio di Istituto.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5. Partecipare al dibattito culturale.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6. Cogliere la complessità dei problemi esistenziali, morali, politici, sociali, economici e scientifici e formulare risposte personali argomentate.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7. Prendere coscienza delle situazioni e delle forme del disagio giovanile ed adulto nella società contemporanea e comportarsi in modo da promuovere il benessere fisico, psicologico, morale e sociale.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8. Rispettare l’ambiente, curarlo, conservarlo, migliorarlo, assumendo il principio di responsabilità.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9. Adottare i comportamenti più adeguati per la tutela della sicurezza propria, degli altri e dell’ambiente in cui si vive, in condizioni ordinarie o straordinarie di pericolo.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10. Perseguire con ogni mezzo e in ogni contesto il principio di legalità e di solidarietà dell’azione individuale e sociale, promuovendo principi, valori e abiti di contrasto alla criminalità organizzata e alle mafie.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11. Esercitare i principi della cittadinanza digitale, con competenza e coerenza rispetto al sistema integrato di valori che regolano la vita democratica.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12. Compiere le scelte di partecipazione alla vita pubblica e di cittadinanza coerentemente agli obiettivi di sostenibilità sanciti a livello comunitario attraverso l’Agenda 2030 per lo sviluppo sostenibile.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13. Operare a favore dello sviluppo eco-sostenibile e della tutela delle identità e delle eccellenze produttive del Paese.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14. Rispettare e valorizzare il patrimonio culturale e dei beni pubblici comuni.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200"/>
        <w:jc w:val="both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  <w:t>Obiettivi minimi</w:t>
      </w:r>
    </w:p>
    <w:p>
      <w:pPr>
        <w:pStyle w:val="Normal1"/>
        <w:numPr>
          <w:ilvl w:val="0"/>
          <w:numId w:val="1"/>
        </w:numPr>
        <w:spacing w:lineRule="auto" w:line="360" w:before="24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l'attitudine alla riflessione sull'uomo e sulla società, riconoscendo elementi di continuità col passato negli argomenti studiati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Approfondire alcune tematiche e problemi di attualità (Geografia, Cittadinanza e Costituzione)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Sapere cosa si intende per inquinamento e conoscere gli impatti che provoca sul pianeta Terra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Essere consapevoli dell’importanza della biodiversità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 xml:space="preserve">Riconoscere i pericoli della rete </w:t>
      </w:r>
      <w:r>
        <w:rPr>
          <w:rFonts w:eastAsia="Arial" w:cs="Arial" w:ascii="Arial" w:hAnsi="Arial"/>
        </w:rPr>
        <w:t xml:space="preserve"> i principali problemi che possono sorgere e come evitarli</w:t>
      </w:r>
    </w:p>
    <w:p>
      <w:pPr>
        <w:pStyle w:val="Normal1"/>
        <w:widowControl w:val="false"/>
        <w:numPr>
          <w:ilvl w:val="0"/>
          <w:numId w:val="1"/>
        </w:numPr>
        <w:spacing w:lineRule="auto" w:line="240" w:before="0" w:after="120"/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Conoscere gli elementi di base delle reti e i relativi principi della sicurezza informatica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0"/>
        <w:jc w:val="both"/>
        <w:rPr>
          <w:rFonts w:ascii="Arial" w:hAnsi="Arial" w:eastAsia="Arial" w:cs="Arial"/>
          <w:color w:val="222222"/>
        </w:rPr>
      </w:pPr>
      <w:r>
        <w:rPr>
          <w:rFonts w:eastAsia="Arial" w:cs="Arial" w:ascii="Arial" w:hAnsi="Arial"/>
          <w:color w:val="222222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20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b/>
          <w:color w:val="00000A"/>
        </w:rPr>
        <w:t xml:space="preserve">Obiettivi specifici disciplinari  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1"/>
        <w:widowControl w:val="false"/>
        <w:numPr>
          <w:ilvl w:val="0"/>
          <w:numId w:val="3"/>
        </w:numPr>
        <w:spacing w:before="0" w:afterAutospacing="0" w:after="0"/>
        <w:ind w:left="720" w:hanging="360"/>
        <w:rPr/>
      </w:pPr>
      <w:r>
        <w:rPr>
          <w:rFonts w:eastAsia="Arial" w:cs="Arial" w:ascii="Arial" w:hAnsi="Arial"/>
        </w:rPr>
        <w:t>Discutere e confrontare diverse interpretazioni di fatti o fenomeni storici, sociali ed economici anche in riferimento alla realtà contemporanea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lo spirito di osservazione, la capacità di analisi, di sintesi e di collegamento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Riconoscere le origini storiche delle principali istituzioni politiche, economiche e religiose nel mondo attuale e le loro interconnessioni, anche alla luce della Costituzione italiana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Conoscere la situazione dell’inquinamento ambientale oggi (situazione delle acque, dell’atmosfera e del suolo)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>Conoscere la disponibilità delle risorse ambientali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Conoscere la biodiversità come patrimonio da tutelare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Uso consapevole dei siti web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pericoli sulla rete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informatica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e protezione dei dati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Crittografia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Privacy e dati sensibili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Ergonomia garantita nel posto di lavoro: il suo ruolo nella postazione PC</w:t>
      </w:r>
    </w:p>
    <w:p>
      <w:pPr>
        <w:pStyle w:val="Normal1"/>
        <w:widowControl w:val="false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72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hd w:val="clear" w:fill="FFFFFF"/>
        <w:spacing w:lineRule="auto" w:line="240" w:before="0" w:after="0"/>
        <w:ind w:left="720" w:hanging="0"/>
        <w:jc w:val="both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1"/>
        <w:shd w:val="clear" w:fill="FFFFFF"/>
        <w:spacing w:lineRule="auto" w:line="240" w:before="0" w:after="0"/>
        <w:ind w:left="360" w:hanging="0"/>
        <w:jc w:val="both"/>
        <w:rPr>
          <w:rFonts w:ascii="Arial" w:hAnsi="Arial" w:eastAsia="Arial" w:cs="Arial"/>
          <w:color w:val="222222"/>
        </w:rPr>
      </w:pPr>
      <w:r>
        <w:rPr>
          <w:rFonts w:eastAsia="Arial" w:cs="Arial" w:ascii="Arial" w:hAnsi="Arial"/>
          <w:color w:val="2222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Percorsi disciplinari o multidisciplinari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La Costituzione italiana: diritti e doveri 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Il cittadino italiano e le istituzioni: Parlamento, Governo, Presidente della Repubblica, la Magistratura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Lo Stato italiano e i rapporti internazionali con gli altri Stati e le Organizzazioni internazionali, in particolare ONU e UE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Metodologie condivise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-21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frontale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interattiva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lavori di gruppo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di materiale multimediale, mappe concettuali e schede riassuntive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dei libri di testo, come strumento privilegiato di studio, e di materiale integrativo fornito dall’insegnante a seconda delle specifiche esigenze di approfondimento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uso di atlanti geostorici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lettura dei giornali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progetti con esperti esterni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visite guidate</w:t>
      </w:r>
    </w:p>
    <w:p>
      <w:pPr>
        <w:pStyle w:val="Normal1"/>
        <w:keepNext w:val="false"/>
        <w:keepLines w:val="false"/>
        <w:widowControl w:val="false"/>
        <w:numPr>
          <w:ilvl w:val="0"/>
          <w:numId w:val="4"/>
        </w:numPr>
        <w:shd w:val="clear" w:fill="auto"/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Criteri di valutazione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 docente di ogni disciplina somministrerà una prova di verifica sulla tematica di Educazione civica trattata nelle proprie ore.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ogni classe, il docente di Discipline giuridico-economiche assumerà il ruolo di coordinatore per Educazione civica, come previsto anche dalle Linee guida. Egli sarà chiamato a coordinare l’attività di tutti i docenti, a raccogliere le valutazioni di tutti i docenti del Consiglio di Classe e a farne una sintesi in modo da esprimere la valutazione sulla disciplina da riportare in pagella, secondo la seguente griglia: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8"/>
        <w:gridCol w:w="5312"/>
        <w:gridCol w:w="1155"/>
      </w:tblGrid>
      <w:tr>
        <w:trPr/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Indicatori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Descrittori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Punteggio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Acquisizione dei contenuti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ha acquisito i contenuti o li ha acquisiti in modo estremamente frammentario e lacunoso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parziale e/o incompleto utilizzandoli in modo non sempre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corretto 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utilizzare le conoscenze acquisite e di collegarle tra loro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utilizzare e collegare le conoscenze acquisite o lo fa in modo del tutto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opportunamente 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in maniera articolata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 in maniera ampia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argomentare in maniera critica e personale, rielaborando i contenuti acquisiti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argomentare in maniera critica e personale o argomenta in modo superficiale e disorganico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argomentazioni critiche e personali solo a tratti e solo in relazione a specifici argomenti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semplici argomentazioni critiche e personali con una corretta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articolate argomentazioni critiche e personali rielaborando efficacemente 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ampie e articolate argomentazioni critiche e personali con un’originale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Ricchezza e padronanza lessicale e semantica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scorretto o stentato utilizzando un lessico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non sempre corretto o stentato utilizzando un lessico parzialmente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corretto utilizzando un lessico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preciso e accurato utilizzando un lessico vario e articolato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con ricchezza e piena padronanza lessicale e semantica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analisi e comprensione della realtà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analizzare e comprendere la realtà o la fa in modo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analizzare e comprendere la realtà con difficoltà o solo se guidato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adeguata della realtà sulla base di una corretta riflessione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precisa della realtà sulla base di un’attenta riflessione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approfondita della realtà sulla base di una riflessione critica e consapevole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 / 50</w:t>
            </w:r>
          </w:p>
        </w:tc>
      </w:tr>
    </w:tbl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Prove di ingresso e prove parallele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Non sono previste prove di ingresso.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 docenti della classe potranno concordare prove comuni.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Strategie per il miglioramento dei livelli di apprendimento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-12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Ogni docente metterà in atto le stesse strategie di recupero previste per la propria disciplina.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Modaltà di comunicazioni trasparenti in merito alla valutazione del percorso scolastico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Le valutazioni verranno comunicate tramite Registro Elettronico.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70C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9" w:top="766" w:footer="426" w:bottom="708" w:gutter="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20765" cy="96710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singl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76" w:before="24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11</Pages>
  <Words>1269</Words>
  <Characters>7420</Characters>
  <CharactersWithSpaces>8552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